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Perkuat Fondasi Operasional, TPK Bagendang Bumiharjo Siap Akselerasi Kinerja di Semester II 2026</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Sampit (17/04)</w:t>
      </w:r>
      <w:r w:rsidDel="00000000" w:rsidR="00000000" w:rsidRPr="00000000">
        <w:rPr>
          <w:rtl w:val="0"/>
        </w:rPr>
        <w:t xml:space="preserve"> - Terminal Peti Kemas (TPK) Bagendang Bumiharjo memanfaatkan triwulan pertama tahun 2026 untuk memperkuat fondasi operasional melalui berbagai langkah transformasi dan peningkatan efisiensi layanan, di tengah dinamika arus logistik pada awal tahun.</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Sepanjang triwulan pertama 2026, TPK Bagendang Bumiharjo mencatatkan arus bongkar muat sebesar 25.063 TEUs, atau mengalami penyesuaian dibandingkan periode yang sama tahun sebelumnya. Penyesuaian volume arus logistik ini dipengaruhi oleh dinamika pola distribusi barang serta aktivitas industri di awal tahun. Kondisi tersebut merupakan bagian dari siklus logistik yang turut dipengaruhi oleh berbagai faktor eksternal.</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Menanggapi dinamika penurunan kunjungan kapal yang terjadi dalam beberapa waktu terakhir Branch Manager PT Meratus Line Kumai &amp; Sampit, M. Arif Wicaksono, turut memberikan pandangan terkait kondisi operasional yang berlangsung di lapangan.</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“Memang terjadi penurunan kunjungan kapal pada dua bulan terakhir dikarenakan penuhnya tambatan di pelabuhan asal akibat lonjakan arus di berbagai daerah. Sehingga, ada beberapa kapal kami yang harus sandar di pelabuhan lain, seperti Pelabuhan Lamongan. Namun, kondisi ini berangsur-angsur membaik. Kami yakin akan ada kenaikan </w:t>
      </w:r>
      <w:r w:rsidDel="00000000" w:rsidR="00000000" w:rsidRPr="00000000">
        <w:rPr>
          <w:i w:val="1"/>
          <w:iCs w:val="1"/>
          <w:rtl w:val="0"/>
        </w:rPr>
        <w:t xml:space="preserve">throughput </w:t>
      </w:r>
      <w:r w:rsidDel="00000000" w:rsidR="00000000" w:rsidRPr="00000000">
        <w:rPr>
          <w:rtl w:val="0"/>
        </w:rPr>
        <w:t xml:space="preserve">pada bulan-bulan selanjutnya,” ujar,.</w:t>
      </w: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Menanggapi dinamika tersebut, sejumlah inisiatif strategis dijalankan TPK Bagendang Bumiharjo, di antaranya optimalisasi pemanfaatan lapangan penumpukan (container yard), peningkatan utilisasi peralatan, serta penguatan fungsi perencanaan dan pengendalian operasional. Upaya ini juga difokuskan pada percepatan layanan kapal, khususnya melalui efisiensi waktu sandar (berthing time), guna meningkatkan produktivitas terminal.</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Terminal Head TPK Bagendang Bumiharjo, Akhmad Fajar, menyampaikan bahwa triwulan pertama menjadi titik penting dalam mendorong percepatan transformasi operasional.</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“Kami menjadikan triwulan pertama sebagai trigger untuk mempercepat transformasi, dengan fokus pada efisiensi waktu sandar kapal, peningkatan utilisasi alat, dan penguatan kolaborasi dengan stakeholder,” ungkap Fajar.</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Lebih lanjut, ia menegaskan bahwa kualitas layanan tetap menjadi prioritas utama di tengah dinamika volume yang terjadi.</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“Walau volume logistik mengalami penurunan, service level tetap terjaga. Kami optimistis kinerja akan berangsur membaik seiring peningkatan aktivitas logistik ke depan,” pungkasnya.</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Memasuki bulan April yang bertepatan dengan momentum peningkatan aktivitas logistik, TPK Bagendang Bumiharjo telah memastikan kesiapan operasional baik dari sisi sumber daya manusia, peralatan, maupun sistem layanan.</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Dengan berbagai langkah transformasi yang telah dilakukan serta dukungan kolaborasi seluruh pemangku kepentingan, TPK Bagendang Bumiharjo optimistis dapat mendorong kinerja yang lebih positif pada triwulan berikutnya dan terus berperan dalam menjaga kelancaran arus logistik di Kalimantan.</w:t>
      </w: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center"/>
        <w:rPr/>
      </w:pPr>
      <w:r w:rsidDel="00000000" w:rsidR="00000000" w:rsidRPr="00000000">
        <w:rPr>
          <w:rtl w:val="0"/>
        </w:rPr>
        <w:t xml:space="preserve">***</w:t>
      </w:r>
    </w:p>
    <w:p w:rsidR="00000000" w:rsidDel="00000000" w:rsidP="00000000" w:rsidRDefault="00000000" w:rsidRPr="00000000" w14:paraId="0000001E">
      <w:pPr>
        <w:jc w:val="center"/>
        <w:rPr/>
      </w:pPr>
      <w:r w:rsidDel="00000000" w:rsidR="00000000" w:rsidRPr="00000000">
        <w:rPr>
          <w:rtl w:val="0"/>
        </w:rPr>
      </w:r>
    </w:p>
    <w:p w:rsidR="00000000" w:rsidDel="00000000" w:rsidP="00000000" w:rsidRDefault="00000000" w:rsidRPr="00000000" w14:paraId="0000001F">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20">
      <w:pPr>
        <w:rPr>
          <w:color w:val="666666"/>
          <w:sz w:val="20"/>
          <w:szCs w:val="20"/>
        </w:rPr>
      </w:pPr>
      <w:r w:rsidDel="00000000" w:rsidR="00000000" w:rsidRPr="00000000">
        <w:rPr>
          <w:rtl w:val="0"/>
        </w:rPr>
      </w:r>
    </w:p>
    <w:p w:rsidR="00000000" w:rsidDel="00000000" w:rsidP="00000000" w:rsidRDefault="00000000" w:rsidRPr="00000000" w14:paraId="00000021">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t xml:space="preserve">Untuk informasi lebih lanjut:</w:t>
      </w:r>
    </w:p>
    <w:p w:rsidR="00000000" w:rsidDel="00000000" w:rsidP="00000000" w:rsidRDefault="00000000" w:rsidRPr="00000000" w14:paraId="00000025">
      <w:pPr>
        <w:jc w:val="both"/>
        <w:rPr>
          <w:b w:val="1"/>
          <w:bCs w:val="1"/>
          <w:u w:val="single"/>
        </w:rPr>
      </w:pPr>
      <w:r w:rsidDel="00000000" w:rsidR="00000000" w:rsidRPr="00000000">
        <w:rPr>
          <w:b w:val="1"/>
          <w:bCs w:val="1"/>
          <w:u w:val="single"/>
          <w:rtl w:val="0"/>
        </w:rPr>
        <w:t xml:space="preserve">Akhmad Fajar</w:t>
      </w:r>
    </w:p>
    <w:p w:rsidR="00000000" w:rsidDel="00000000" w:rsidP="00000000" w:rsidRDefault="00000000" w:rsidRPr="00000000" w14:paraId="00000026">
      <w:pPr>
        <w:jc w:val="both"/>
        <w:rPr/>
      </w:pPr>
      <w:r w:rsidDel="00000000" w:rsidR="00000000" w:rsidRPr="00000000">
        <w:rPr>
          <w:rtl w:val="0"/>
        </w:rPr>
        <w:t xml:space="preserve">Terminal Head TPK Bagendang Bumiharjo</w:t>
      </w:r>
      <w:r w:rsidDel="00000000" w:rsidR="00000000" w:rsidRPr="00000000">
        <w:rPr>
          <w:rtl w:val="0"/>
        </w:rPr>
      </w:r>
    </w:p>
    <w:p w:rsidR="00000000" w:rsidDel="00000000" w:rsidP="00000000" w:rsidRDefault="00000000" w:rsidRPr="00000000" w14:paraId="00000027">
      <w:pPr>
        <w:jc w:val="both"/>
        <w:rPr/>
      </w:pPr>
      <w:r w:rsidDel="00000000" w:rsidR="00000000" w:rsidRPr="00000000">
        <w:rPr>
          <w:rtl w:val="0"/>
        </w:rPr>
        <w:t xml:space="preserve">PT Pelindo Terminal Petikemas</w:t>
      </w:r>
    </w:p>
    <w:p w:rsidR="00000000" w:rsidDel="00000000" w:rsidP="00000000" w:rsidRDefault="00000000" w:rsidRPr="00000000" w14:paraId="00000028">
      <w:pPr>
        <w:jc w:val="both"/>
        <w:rPr/>
      </w:pPr>
      <w:r w:rsidDel="00000000" w:rsidR="00000000" w:rsidRPr="00000000">
        <w:rPr>
          <w:rtl w:val="0"/>
        </w:rPr>
        <w:t xml:space="preserve">HP : +62 811-2841-111</w:t>
      </w:r>
    </w:p>
    <w:p w:rsidR="00000000" w:rsidDel="00000000" w:rsidP="00000000" w:rsidRDefault="00000000" w:rsidRPr="00000000" w14:paraId="00000029">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t xml:space="preserve">Nomor: 002/PR/SPTP/IV/2026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