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00" w:rsidRPr="00C024C9" w:rsidRDefault="00BB2741">
      <w:pPr>
        <w:spacing w:line="276" w:lineRule="auto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</w:rPr>
        <w:t>No. 00</w:t>
      </w:r>
      <w:r w:rsidR="00C024C9" w:rsidRPr="00C024C9">
        <w:rPr>
          <w:rFonts w:ascii="Arial Narrow" w:eastAsia="Arial Narrow" w:hAnsi="Arial Narrow" w:cs="Arial Narrow"/>
        </w:rPr>
        <w:t>2</w:t>
      </w:r>
      <w:r w:rsidRPr="00C024C9">
        <w:rPr>
          <w:rFonts w:ascii="Arial Narrow" w:eastAsia="Arial Narrow" w:hAnsi="Arial Narrow" w:cs="Arial Narrow"/>
        </w:rPr>
        <w:t>/SPTP/X/22</w:t>
      </w:r>
    </w:p>
    <w:p w:rsidR="00222D00" w:rsidRPr="00C024C9" w:rsidRDefault="00222D00">
      <w:pPr>
        <w:spacing w:line="276" w:lineRule="auto"/>
        <w:jc w:val="right"/>
        <w:rPr>
          <w:rFonts w:ascii="Arial Narrow" w:eastAsia="Arial Narrow" w:hAnsi="Arial Narrow" w:cs="Arial Narrow"/>
          <w:color w:val="000000"/>
        </w:rPr>
      </w:pPr>
    </w:p>
    <w:p w:rsidR="00222D00" w:rsidRPr="00C024C9" w:rsidRDefault="00BB2741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  <w:r w:rsidRPr="00C024C9">
        <w:rPr>
          <w:rFonts w:ascii="Arial Narrow" w:eastAsia="Arial Narrow" w:hAnsi="Arial Narrow" w:cs="Arial Narrow"/>
          <w:b/>
          <w:color w:val="000000"/>
        </w:rPr>
        <w:t>Press Release</w:t>
      </w:r>
    </w:p>
    <w:p w:rsidR="00222D00" w:rsidRPr="00C024C9" w:rsidRDefault="00C024C9" w:rsidP="00C024C9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</w:rPr>
      </w:pP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Subholding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Pelindo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Catat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Arus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Peti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Kemas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8</w:t>
      </w:r>
      <w:proofErr w:type="gram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,2</w:t>
      </w:r>
      <w:proofErr w:type="gram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Juta</w:t>
      </w:r>
      <w:proofErr w:type="spellEnd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024C9">
        <w:rPr>
          <w:rFonts w:ascii="Arial Narrow" w:hAnsi="Arial Narrow" w:cs="Arial"/>
          <w:b/>
          <w:bCs/>
          <w:color w:val="000000"/>
          <w:sz w:val="22"/>
          <w:szCs w:val="22"/>
        </w:rPr>
        <w:t>Teus</w:t>
      </w:r>
      <w:proofErr w:type="spellEnd"/>
    </w:p>
    <w:p w:rsidR="00222D00" w:rsidRPr="00C024C9" w:rsidRDefault="00222D00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Surabaya (20/10) -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Sepanjang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sembilan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bulan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pertama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tahun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2022,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subholding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PT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Pelindo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mencatat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jumlah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mencapai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8</w:t>
      </w:r>
      <w:proofErr w:type="gram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,2</w:t>
      </w:r>
      <w:proofErr w:type="gram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Jumlah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tersebut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lebih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tinggi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periode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sama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tahun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lalu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tercatat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sebanyak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8</w:t>
      </w:r>
      <w:proofErr w:type="gram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,1</w:t>
      </w:r>
      <w:proofErr w:type="gram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atau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tumbuh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rata-rata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sekitar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1,15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persen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tersebut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merupakan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gabungan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15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7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anak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perusahaan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dikelola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oleh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perseroan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Corporate Secretary PT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Pelindo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(SPTP)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Widyaswendra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menyebut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tersebut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didominasi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oleh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domestik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mencapai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5</w:t>
      </w:r>
      <w:proofErr w:type="gram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,6</w:t>
      </w:r>
      <w:proofErr w:type="gram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atau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sekitar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69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persen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Sementara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luar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negeri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mencapai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2</w:t>
      </w:r>
      <w:proofErr w:type="gram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,5</w:t>
      </w:r>
      <w:proofErr w:type="gram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atau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sekitar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31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persen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“Kami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optimis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dapat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mencapai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target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hingga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akhir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tahun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2022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ditetapkan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oleh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pemegang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saham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yakni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sebanyak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11,65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,”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katanya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Kamis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(20/10).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Sejumlah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upaya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dilakukan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oleh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PT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Pelindo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meningkatkan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jumlah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mulai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upaya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menggandeng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kepentingan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sendiri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(TUKS),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pengoperasian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pelabuhan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milik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pemerintah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melalui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skema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kerjasama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pemanfaatan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(KSP)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barang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milik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negara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(BMN).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Selain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itu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upaya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bersinergi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dengan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pihak-pihak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berkepentingan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lainnya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juga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dijajaki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oleh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perseroan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“Kami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sedang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mempersiapkan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kajian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melakukan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pengembangan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berperan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sebagai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transhipment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hub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internasional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Sebagaimana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kita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ketahui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bersama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posisi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kita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ada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jalur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perdagangan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dunia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ini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coba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kami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optimalkan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setelah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merger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Pelindo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,”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lanjutnya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Direktur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The National Maritime Institute (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Namarin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)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Siswanto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Rusdi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menyebut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upaya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kontainerisasi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muatan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dapat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menjadi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salah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satu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upaya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PT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Pelindo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Terminal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(SPTP)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meningkatkan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pertumbuhan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arus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Tak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hanya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itu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mendukung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upaya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kontainerisasi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SPTP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perlu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melakukan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pembenahan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sejumlah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pelabuhan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ada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wilayah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timur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Indonesia agar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mampu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digunakan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kegiatan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“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Potensi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muatan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wilayah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timur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Indonesia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masih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cukup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tinggi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utamanya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berkaitan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dengan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hasil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tangkapan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laut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atau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perikanan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namun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kita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juga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perlu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perhatikan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apakah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pelabuhan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ada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daerah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sudah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dapat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mendukung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bongkar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muat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ataupun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fasilitas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berpendingin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,” kata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Siswanto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Berkenaan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dengan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transhipment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hub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peti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kemas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internasional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Siswanto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menilai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perlu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dilakukan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kajian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menyeluruh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bersama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semua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pihak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termasuk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pemerintah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Keberadaan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ekosistem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kuat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mulai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kemudahan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bunker,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lokasi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berlabuh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sistem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keuangan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pembayaran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pemanduan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penundaan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kapal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hal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lainnya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sangat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dibutuhkan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dalam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mewujudkan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transhipment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hub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internasional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dimimpikan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.</w:t>
      </w:r>
    </w:p>
    <w:p w:rsidR="00C024C9" w:rsidRPr="00C024C9" w:rsidRDefault="00C024C9" w:rsidP="00C024C9">
      <w:pPr>
        <w:rPr>
          <w:rFonts w:ascii="Arial Narrow" w:eastAsia="Times New Roman" w:hAnsi="Arial Narrow" w:cs="Times New Roman"/>
          <w:lang w:val="en-US"/>
        </w:rPr>
      </w:pPr>
    </w:p>
    <w:p w:rsidR="00C024C9" w:rsidRPr="00C024C9" w:rsidRDefault="00C024C9" w:rsidP="00C024C9">
      <w:pPr>
        <w:jc w:val="both"/>
        <w:rPr>
          <w:rFonts w:ascii="Arial Narrow" w:eastAsia="Times New Roman" w:hAnsi="Arial Narrow" w:cs="Times New Roman"/>
          <w:lang w:val="en-US"/>
        </w:rPr>
      </w:pPr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“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Pertarungan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sektor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tersebut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akan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sangat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kita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ketahui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ada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negara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tetangga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sudah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menguasai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pasar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sehingga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kita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perlu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memperkuat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diri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terlebih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dahulu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untuk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siap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bersaing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langsung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dengan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mereka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di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selat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Malaka</w:t>
      </w:r>
      <w:proofErr w:type="spellEnd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 xml:space="preserve">,” </w:t>
      </w:r>
      <w:proofErr w:type="spellStart"/>
      <w:r w:rsidRPr="00C024C9"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>pungkasnya</w:t>
      </w:r>
      <w:proofErr w:type="spellEnd"/>
    </w:p>
    <w:p w:rsidR="00C024C9" w:rsidRPr="00C024C9" w:rsidRDefault="00C024C9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</w:rPr>
      </w:pPr>
    </w:p>
    <w:p w:rsidR="00222D00" w:rsidRPr="00C024C9" w:rsidRDefault="00BB2741">
      <w:pPr>
        <w:spacing w:line="276" w:lineRule="auto"/>
        <w:jc w:val="center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</w:rPr>
        <w:t>***</w:t>
      </w:r>
    </w:p>
    <w:p w:rsidR="00222D00" w:rsidRPr="00C024C9" w:rsidRDefault="00222D00">
      <w:pPr>
        <w:spacing w:line="276" w:lineRule="auto"/>
        <w:jc w:val="center"/>
        <w:rPr>
          <w:rFonts w:ascii="Arial Narrow" w:eastAsia="Arial Narrow" w:hAnsi="Arial Narrow" w:cs="Arial Narrow"/>
        </w:rPr>
      </w:pP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024C9">
        <w:rPr>
          <w:rFonts w:ascii="Arial Narrow" w:eastAsia="Arial Narrow" w:hAnsi="Arial Narrow" w:cs="Arial Narrow"/>
          <w:color w:val="000000"/>
        </w:rPr>
        <w:t xml:space="preserve">PT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Pelindo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Terminal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Petikemas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merupakan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bagian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dari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group PT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Pelabuhan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Indonesia (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Persero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)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atau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Pelindo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yang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berperan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sebagai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subholding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pengelola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bisnis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peti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kemas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. Perseroan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dibentuk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pasc</w:t>
      </w:r>
      <w:r w:rsidRPr="00C024C9">
        <w:rPr>
          <w:rFonts w:ascii="Arial Narrow" w:eastAsia="Arial Narrow" w:hAnsi="Arial Narrow" w:cs="Arial Narrow"/>
          <w:color w:val="000000"/>
        </w:rPr>
        <w:t>a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integrasi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Pelindo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yang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terjadi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pada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tanggal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1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Oktober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2021.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Saat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ini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PT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Pelindo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Terminal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Petikemas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mengelola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27 terminal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peti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kemas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dengan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rincian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15 terminal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dioperasikan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langsung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oleh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perseroan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12 terminal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dioperasikan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oleh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7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anak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perusahaan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>. </w:t>
      </w: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024C9">
        <w:rPr>
          <w:rFonts w:ascii="Arial Narrow" w:eastAsia="Arial Narrow" w:hAnsi="Arial Narrow" w:cs="Arial Narrow"/>
          <w:color w:val="000000"/>
        </w:rPr>
        <w:lastRenderedPageBreak/>
        <w:t> </w:t>
      </w: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 w:rsidRPr="00C024C9">
        <w:rPr>
          <w:rFonts w:ascii="Arial Narrow" w:eastAsia="Arial Narrow" w:hAnsi="Arial Narrow" w:cs="Arial Narrow"/>
          <w:color w:val="000000"/>
        </w:rPr>
        <w:t>Untuk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informasi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lebih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lanjut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dapat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menghubungi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>:</w:t>
      </w: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</w:pPr>
      <w:proofErr w:type="spellStart"/>
      <w:r w:rsidRPr="00C024C9">
        <w:rPr>
          <w:rFonts w:ascii="Arial Narrow" w:eastAsia="Arial Narrow" w:hAnsi="Arial Narrow" w:cs="Arial Narrow"/>
          <w:b/>
          <w:color w:val="000000"/>
          <w:u w:val="single"/>
        </w:rPr>
        <w:t>Suryo</w:t>
      </w:r>
      <w:proofErr w:type="spellEnd"/>
      <w:r w:rsidRPr="00C024C9"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b/>
          <w:color w:val="000000"/>
          <w:u w:val="single"/>
        </w:rPr>
        <w:t>Khasabu</w:t>
      </w:r>
      <w:proofErr w:type="spellEnd"/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024C9">
        <w:rPr>
          <w:rFonts w:ascii="Arial Narrow" w:eastAsia="Arial Narrow" w:hAnsi="Arial Narrow" w:cs="Arial Narrow"/>
          <w:color w:val="000000"/>
        </w:rPr>
        <w:t xml:space="preserve">VP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Komunikasi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Korporasi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dan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Protokoler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024C9">
        <w:rPr>
          <w:rFonts w:ascii="Arial Narrow" w:eastAsia="Arial Narrow" w:hAnsi="Arial Narrow" w:cs="Arial Narrow"/>
          <w:color w:val="000000"/>
        </w:rPr>
        <w:t xml:space="preserve">PT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Pelindo</w:t>
      </w:r>
      <w:proofErr w:type="spellEnd"/>
      <w:r w:rsidRPr="00C024C9">
        <w:rPr>
          <w:rFonts w:ascii="Arial Narrow" w:eastAsia="Arial Narrow" w:hAnsi="Arial Narrow" w:cs="Arial Narrow"/>
          <w:color w:val="000000"/>
        </w:rPr>
        <w:t xml:space="preserve"> Terminal </w:t>
      </w:r>
      <w:proofErr w:type="spellStart"/>
      <w:r w:rsidRPr="00C024C9">
        <w:rPr>
          <w:rFonts w:ascii="Arial Narrow" w:eastAsia="Arial Narrow" w:hAnsi="Arial Narrow" w:cs="Arial Narrow"/>
          <w:color w:val="000000"/>
        </w:rPr>
        <w:t>Petikemas</w:t>
      </w:r>
      <w:proofErr w:type="spellEnd"/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 w:rsidRPr="00C024C9">
        <w:rPr>
          <w:rFonts w:ascii="Arial Narrow" w:eastAsia="Arial Narrow" w:hAnsi="Arial Narrow" w:cs="Arial Narrow"/>
          <w:color w:val="000000"/>
        </w:rPr>
        <w:t>HP :</w:t>
      </w:r>
      <w:proofErr w:type="gramEnd"/>
      <w:r w:rsidRPr="00C024C9">
        <w:rPr>
          <w:rFonts w:ascii="Arial Narrow" w:eastAsia="Arial Narrow" w:hAnsi="Arial Narrow" w:cs="Arial Narrow"/>
          <w:color w:val="000000"/>
        </w:rPr>
        <w:t xml:space="preserve"> 08113819219</w:t>
      </w:r>
    </w:p>
    <w:p w:rsidR="00222D00" w:rsidRPr="00C024C9" w:rsidRDefault="00BB2741">
      <w:pPr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color w:val="1155CC"/>
          <w:u w:val="single"/>
        </w:rPr>
      </w:pPr>
      <w:proofErr w:type="gramStart"/>
      <w:r w:rsidRPr="00C024C9">
        <w:rPr>
          <w:rFonts w:ascii="Arial Narrow" w:eastAsia="Arial Narrow" w:hAnsi="Arial Narrow" w:cs="Arial Narrow"/>
          <w:color w:val="000000"/>
        </w:rPr>
        <w:t>Email :</w:t>
      </w:r>
      <w:proofErr w:type="gramEnd"/>
      <w:r w:rsidRPr="00C024C9">
        <w:rPr>
          <w:rFonts w:ascii="Arial Narrow" w:eastAsia="Arial Narrow" w:hAnsi="Arial Narrow" w:cs="Arial Narrow"/>
          <w:color w:val="000000"/>
        </w:rPr>
        <w:t> </w:t>
      </w:r>
      <w:hyperlink r:id="rId7">
        <w:r w:rsidRPr="00C024C9">
          <w:rPr>
            <w:rFonts w:ascii="Arial Narrow" w:eastAsia="Arial Narrow" w:hAnsi="Arial Narrow" w:cs="Arial Narrow"/>
            <w:color w:val="1155CC"/>
            <w:u w:val="single"/>
          </w:rPr>
          <w:t>info.tpk@pelindo.co.id</w:t>
        </w:r>
      </w:hyperlink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BB2741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C024C9">
        <w:rPr>
          <w:rFonts w:ascii="Arial Narrow" w:eastAsia="Arial Narrow" w:hAnsi="Arial Narrow" w:cs="Arial Narrow"/>
          <w:color w:val="000000"/>
        </w:rPr>
        <w:t> </w:t>
      </w:r>
    </w:p>
    <w:p w:rsidR="00222D00" w:rsidRPr="00C024C9" w:rsidRDefault="00222D00">
      <w:pPr>
        <w:spacing w:line="276" w:lineRule="auto"/>
        <w:rPr>
          <w:rFonts w:ascii="Arial Narrow" w:eastAsia="Arial Narrow" w:hAnsi="Arial Narrow" w:cs="Arial Narrow"/>
        </w:rPr>
      </w:pPr>
      <w:bookmarkStart w:id="1" w:name="_GoBack"/>
      <w:bookmarkEnd w:id="1"/>
    </w:p>
    <w:sectPr w:rsidR="00222D00" w:rsidRPr="00C024C9"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41" w:rsidRDefault="00BB2741">
      <w:r>
        <w:separator/>
      </w:r>
    </w:p>
  </w:endnote>
  <w:endnote w:type="continuationSeparator" w:id="0">
    <w:p w:rsidR="00BB2741" w:rsidRDefault="00B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41" w:rsidRDefault="00BB2741">
      <w:r>
        <w:separator/>
      </w:r>
    </w:p>
  </w:footnote>
  <w:footnote w:type="continuationSeparator" w:id="0">
    <w:p w:rsidR="00BB2741" w:rsidRDefault="00BB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00" w:rsidRDefault="00222D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color w:val="000000"/>
      </w:rPr>
    </w:pPr>
  </w:p>
  <w:p w:rsidR="00222D00" w:rsidRDefault="00222D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color w:val="000000"/>
      </w:rPr>
    </w:pPr>
  </w:p>
  <w:p w:rsidR="00222D00" w:rsidRDefault="00BB27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noProof/>
        <w:color w:val="000000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3828415</wp:posOffset>
          </wp:positionH>
          <wp:positionV relativeFrom="margin">
            <wp:posOffset>-745489</wp:posOffset>
          </wp:positionV>
          <wp:extent cx="1978025" cy="5588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802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00"/>
    <w:rsid w:val="00222D00"/>
    <w:rsid w:val="00BB2741"/>
    <w:rsid w:val="00C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83F0"/>
  <w15:docId w15:val="{602377CA-D6E1-45B0-AE0A-F4718F8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B04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C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D52"/>
  </w:style>
  <w:style w:type="paragraph" w:styleId="Footer">
    <w:name w:val="footer"/>
    <w:basedOn w:val="Normal"/>
    <w:link w:val="FooterChar"/>
    <w:uiPriority w:val="99"/>
    <w:unhideWhenUsed/>
    <w:rsid w:val="005C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D52"/>
  </w:style>
  <w:style w:type="character" w:styleId="Hyperlink">
    <w:name w:val="Hyperlink"/>
    <w:basedOn w:val="DefaultParagraphFont"/>
    <w:uiPriority w:val="99"/>
    <w:semiHidden/>
    <w:unhideWhenUsed/>
    <w:rsid w:val="00BE5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4A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tpk@pelindo.co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Xfj/+43ALV81mjVPq3T2r7BeQ==">AMUW2mVtNb5F0agjZNBBPIzYSrUgnrkNTcnVFJBrninUkjmfBa7YWbx+eimt5xZX848PnghAYMvH517K7g8HIqJ8jEm8PNsYPj/aZ83RFQFF+akeCVJDgywEWA5N3x8/5WuImpI59wcT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Gatra Dwi Adiyasa</cp:lastModifiedBy>
  <cp:revision>2</cp:revision>
  <dcterms:created xsi:type="dcterms:W3CDTF">2022-10-17T07:22:00Z</dcterms:created>
  <dcterms:modified xsi:type="dcterms:W3CDTF">2022-10-20T07:17:00Z</dcterms:modified>
</cp:coreProperties>
</file>